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С ПОМОЩЬЮ БАНКОВСКОЙ КАРТЫ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Для выбора оплаты товара с помощью банковской карты на соответствующей странице сайта необходимо нажать кнопку «Оплата банковской картой».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Оплата происходит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CA4E88" w:rsidRPr="0065260B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65260B">
        <w:rPr>
          <w:rStyle w:val="a4"/>
          <w:rFonts w:ascii="Arial" w:hAnsi="Arial" w:cs="Arial"/>
          <w:color w:val="000000"/>
          <w:sz w:val="22"/>
          <w:szCs w:val="22"/>
          <w:lang w:val="en-US"/>
        </w:rPr>
        <w:t>VISA International</w:t>
      </w:r>
      <w:r w:rsidRPr="0065260B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65260B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65260B">
        <w:rPr>
          <w:rStyle w:val="a4"/>
          <w:rFonts w:ascii="Arial" w:hAnsi="Arial" w:cs="Arial"/>
          <w:color w:val="000000"/>
          <w:sz w:val="22"/>
          <w:szCs w:val="22"/>
          <w:lang w:val="en-US"/>
        </w:rPr>
        <w:t>MasterCard World Wide</w:t>
      </w:r>
    </w:p>
    <w:p w:rsidR="00CA4E88" w:rsidRPr="0065260B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Описание</w:t>
      </w:r>
      <w:r w:rsidRPr="0065260B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процесса</w:t>
      </w:r>
      <w:r w:rsidRPr="0065260B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передачи</w:t>
      </w:r>
      <w:r w:rsidRPr="0065260B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данных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65260B">
        <w:rPr>
          <w:rFonts w:ascii="Arial" w:hAnsi="Arial" w:cs="Arial"/>
          <w:color w:val="000000"/>
          <w:sz w:val="22"/>
          <w:szCs w:val="22"/>
          <w:lang w:val="en-US"/>
        </w:rPr>
        <w:t xml:space="preserve">  </w:t>
      </w:r>
      <w:r>
        <w:rPr>
          <w:rFonts w:ascii="Arial" w:hAnsi="Arial" w:cs="Arial"/>
          <w:color w:val="000000"/>
          <w:sz w:val="22"/>
          <w:szCs w:val="22"/>
        </w:rPr>
        <w:t>Для оплаты покупки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В случае если Ваш банк поддерживает технологию безопасного проведения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 можете уточнить в банке, выпустившем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Настоящий сайт поддерживает 256-битное шифрование. 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Описание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процесс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оплаты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в нашем магазине, Вы должны будете нажать на кнопку «Оплата банковской картой», при этом система переключит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сервера, где Вам будет предложено ввести данные пластиковой карты, инициировать ее авторизацию, после чего вернуться в наш магазин кнопкой "Вернуться в магазин". После того, как Вы возвращаетесь в наш магазин,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При аннулировании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При аннулировании позиций из оплаченного заказа (или при аннулировании заказа целиком) Вы можете заказать другой товар на эту сумму, либо вернуть всю сумму на карту предварительно написав письмо на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ДОСТАВКА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Доставка производится на 1-2-й день с момента зачисления денег на наш счет. Товар доставляется в рабочие дни с 10-00 до 18-00. При получении товара у представителя юридического лица должна быть доверенность с печатью от компании-плательщика или сама печать.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Частные покупатели для получения товара должны предъявить квитанцию с отметкой Сбербанка об оплате или паспорт владельца карты, если оплата произведена по банковской карте.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ГАРАНТИЙНЫЕ ОБЯЗАТЕЛЬСТВА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Гарантийное обслуживание оборудования в течение всего гарантийного срока осуществляется авторизованными сервисными центрами соответствующих фирм-изготовителей. Адреса сервисных центров Вы можете найти на соответствующей странице нашего сайта. Обязательным условием выполнения гарантийного ремонта является наличие гарантийного талона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котором должны бать заполнены графы с наименованием товара, гарантийным сроком, датой продажи и серийным номером устройства.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банковскими картами осуществляется после проверки заказа менеджером 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интернет-магазина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по банковским картам VISA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114800" cy="609600"/>
            <wp:effectExtent l="0" t="0" r="0" b="0"/>
            <wp:docPr id="6" name="Рисунок 6" descr="http://gk-granit.ru/netcat_files/userfiles/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-granit.ru/netcat_files/userfiles/vi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оплате принимаются все виды платежных карточек VISA, за исключением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В большинстве случаев карта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применима для оплаты через интернет, за исключением карт, выпущенных отдельными банками. О возможность оплаты картой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вам нужно выяснять у банка-эмитента вашей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по кредитным картам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MasterCard</w:t>
      </w:r>
      <w:proofErr w:type="spellEnd"/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сайте к оплате принимаются все виды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162550" cy="609600"/>
            <wp:effectExtent l="0" t="0" r="0" b="0"/>
            <wp:docPr id="5" name="Рисунок 5" descr="http://gk-granit.ru/netcat_files/userfiles/master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-granit.ru/netcat_files/userfiles/masterc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Что нужно знать: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номер вашей кредитной карты;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окончания действия вашей кредитной карты, месяц/год;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CVV код для карт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CVC код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3 последние цифры на полосе для подписи на обороте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076575" cy="1466850"/>
            <wp:effectExtent l="0" t="0" r="9525" b="0"/>
            <wp:docPr id="4" name="Рисунок 4" descr="http://gk-granit.ru/netcat_files/userfiles/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-granit.ru/netcat_files/userfiles/p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ЧЕРЕЗ СБЕРБАНК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05000" cy="476250"/>
            <wp:effectExtent l="0" t="0" r="0" b="0"/>
            <wp:docPr id="3" name="Рисунок 3" descr="http://gk-granit.ru/netcat_files/userfiles/s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-granit.ru/netcat_files/userfiles/sb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Оплата заказов через СБЕРБАНК осуществляется после проверки заказа менеджером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интернет-магазина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Чтобы оплатить заказ, необходимо распечатать квитанцию об оплате с сайта магазина. Предупреждаем Вас, что СБЕРБАНК взымает комиссию за услугу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БАНКОВСКИМИ КАРТАМИ СБЕРБАНКА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Как оплатить банковской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кнопке "Перейти на сайт платежной системы СБЕРБАНК" Вы будете перенаправлены на платежный шлюз ПАО "Сбербанк России", где Вы сможете указать реквизиты Вашей банковской карты*. Соединение с платежным шлюзом и передача параметров Вашей пластиковой карты осуществляется в защищенном режиме с использованием 128-битного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2" name="Рисунок 2" descr="http://gk-granit.ru/netcat_files/userfiles/ver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k-granit.ru/netcat_files/userfiles/verVI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1" name="Рисунок 1" descr="http://gk-granit.ru/netcat_files/userfiles/ver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k-granit.ru/netcat_files/userfiles/verMas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Банк-Эмитент вашей пластиковой карты поддерживает технологию безопасного проведения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VISA или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будьте готовы указать специальный пароль, необходимый для успешной оплаты. Способы и возможность получения пароля для совершения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 можете уточнить в банке, выпустившем Вашу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После подтверждения заказа менеджером, Вы должны будете зайти в личный кабинет вашего заказа (по 20-значному уникальному номеру заказа, полученному при оформлении) и нажать на кнопку «Оплата банковской картой», при этом система переведёт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 Сбербанка, где Вам будет предложено ввести данные пластиковой карты, инициировать ее авторизацию, после чего вы сможете вернуться в наш магазин кликом по кнопке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"Вернуться в магазин". После возвращения в наш магазин, система уведомит Вас о результатах авторизации.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*Конфиденциальность сообщаемой персональной информации обеспечивается 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систем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Отмена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удалении товаров из оплаченного заказа или при аннулировании заказа целиком Вы можете заказать другой товар на такую же сумму, либо полностью вернуть всю сумму на карту с помощью Вашего менеджера.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Доставка и выдача заказа, оплаченного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пластиковй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Доставка или выдача при самовывозе товара, оплаченного пластиковой картой, осуществляется со дня зачисления денег на наш счет.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Частные покупатели для получения товара должны предъявить паспорт владельца пластиковой карты, по которой производилась оплата заказа.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Представитель юридического лица должен иметь доверенность с печатью от компании-плательщика или саму печать.</w:t>
      </w:r>
    </w:p>
    <w:p w:rsidR="008B523B" w:rsidRDefault="008B523B"/>
    <w:sectPr w:rsidR="008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D"/>
    <w:rsid w:val="0065260B"/>
    <w:rsid w:val="006A2FAD"/>
    <w:rsid w:val="008B523B"/>
    <w:rsid w:val="00C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Александр Иванович</dc:creator>
  <cp:keywords/>
  <dc:description/>
  <cp:lastModifiedBy>Минаков Александр Иванович</cp:lastModifiedBy>
  <cp:revision>3</cp:revision>
  <dcterms:created xsi:type="dcterms:W3CDTF">2017-05-12T04:35:00Z</dcterms:created>
  <dcterms:modified xsi:type="dcterms:W3CDTF">2017-05-12T04:35:00Z</dcterms:modified>
</cp:coreProperties>
</file>